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52CF" w:rsidRDefault="005D52CF" w:rsidP="00E54768">
      <w:pPr>
        <w:pStyle w:val="BodyText"/>
        <w:jc w:val="center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EDITAL DE CONVOCAÇÃO</w:t>
      </w:r>
    </w:p>
    <w:p w:rsidR="005D52CF" w:rsidRDefault="005D52CF" w:rsidP="00E54768">
      <w:pPr>
        <w:pStyle w:val="BodyText"/>
        <w:jc w:val="center"/>
        <w:rPr>
          <w:rFonts w:ascii="Tahoma" w:hAnsi="Tahoma"/>
          <w:b/>
          <w:bCs/>
          <w:sz w:val="28"/>
          <w:u w:val="single"/>
        </w:rPr>
      </w:pPr>
    </w:p>
    <w:p w:rsidR="005D52CF" w:rsidRDefault="005D52CF" w:rsidP="00E54768">
      <w:pPr>
        <w:pStyle w:val="BodyText"/>
        <w:jc w:val="center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ASSEMBLÉIA GERAL ORDINÁRIA</w:t>
      </w:r>
    </w:p>
    <w:p w:rsidR="005D52CF" w:rsidRDefault="005D52CF" w:rsidP="00E54768">
      <w:pPr>
        <w:pStyle w:val="BodyText"/>
        <w:jc w:val="center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E</w:t>
      </w:r>
    </w:p>
    <w:p w:rsidR="005D52CF" w:rsidRDefault="005D52CF" w:rsidP="00E54768">
      <w:pPr>
        <w:pStyle w:val="BodyText"/>
        <w:jc w:val="center"/>
        <w:rPr>
          <w:b/>
          <w:bCs/>
          <w:sz w:val="28"/>
          <w:u w:val="single"/>
        </w:rPr>
      </w:pPr>
      <w:r>
        <w:rPr>
          <w:b/>
          <w:bCs/>
          <w:sz w:val="28"/>
          <w:u w:val="single"/>
        </w:rPr>
        <w:t>ASEMBLÉIA GERAL EXTRAORDINÁRIA</w:t>
      </w:r>
    </w:p>
    <w:p w:rsidR="005D52CF" w:rsidRDefault="005D52CF" w:rsidP="00E54768">
      <w:pPr>
        <w:pStyle w:val="BodyText"/>
        <w:jc w:val="center"/>
        <w:rPr>
          <w:b/>
          <w:bCs/>
          <w:sz w:val="28"/>
          <w:u w:val="single"/>
        </w:rPr>
      </w:pPr>
    </w:p>
    <w:p w:rsidR="005D52CF" w:rsidRPr="00E54768" w:rsidRDefault="005D52CF" w:rsidP="00494FD6">
      <w:pPr>
        <w:pStyle w:val="BodyText"/>
        <w:rPr>
          <w:b/>
          <w:bCs/>
          <w:sz w:val="28"/>
          <w:szCs w:val="28"/>
          <w:u w:val="single"/>
        </w:rPr>
      </w:pPr>
    </w:p>
    <w:p w:rsidR="005D52CF" w:rsidRDefault="005D52CF" w:rsidP="00E54768">
      <w:pPr>
        <w:ind w:firstLine="504"/>
        <w:rPr>
          <w:rFonts w:ascii="Tahoma" w:hAnsi="Tahoma"/>
          <w:u w:val="single"/>
        </w:rPr>
      </w:pPr>
      <w:r>
        <w:rPr>
          <w:rFonts w:ascii="Tahoma" w:hAnsi="Tahoma"/>
        </w:rPr>
        <w:t xml:space="preserve">A Associação do Comércio Farmacêutico do Estado do Rio de Janeiro (ASCOFERJ), de acordo com o estatuto devidamente registrado, com base no art. 44, convida os senhores sócios, para </w:t>
      </w:r>
      <w:r w:rsidRPr="00EF5DB6">
        <w:rPr>
          <w:rFonts w:ascii="Tahoma" w:hAnsi="Tahoma"/>
          <w:b/>
          <w:bCs/>
          <w:u w:val="single"/>
        </w:rPr>
        <w:t xml:space="preserve">Assembléia Geral </w:t>
      </w:r>
      <w:r>
        <w:rPr>
          <w:rFonts w:ascii="Tahoma" w:hAnsi="Tahoma"/>
          <w:b/>
          <w:bCs/>
          <w:u w:val="single"/>
        </w:rPr>
        <w:t>Ordinária</w:t>
      </w:r>
      <w:r>
        <w:rPr>
          <w:rFonts w:ascii="Tahoma" w:hAnsi="Tahoma"/>
          <w:bCs/>
        </w:rPr>
        <w:t xml:space="preserve">, a ser realizada no dia </w:t>
      </w:r>
      <w:r>
        <w:rPr>
          <w:rFonts w:ascii="Tahoma" w:hAnsi="Tahoma"/>
          <w:b/>
          <w:u w:val="single"/>
        </w:rPr>
        <w:t>13 de Outubro de 2015</w:t>
      </w:r>
      <w:r w:rsidRPr="00EF5DB6">
        <w:rPr>
          <w:rFonts w:ascii="Tahoma" w:hAnsi="Tahoma"/>
          <w:b/>
          <w:u w:val="single"/>
        </w:rPr>
        <w:t xml:space="preserve"> (</w:t>
      </w:r>
      <w:r>
        <w:rPr>
          <w:rFonts w:ascii="Tahoma" w:hAnsi="Tahoma"/>
          <w:b/>
          <w:u w:val="single"/>
        </w:rPr>
        <w:t>3</w:t>
      </w:r>
      <w:r w:rsidRPr="00EF5DB6">
        <w:rPr>
          <w:rFonts w:ascii="Tahoma" w:hAnsi="Tahoma"/>
          <w:b/>
          <w:u w:val="single"/>
        </w:rPr>
        <w:t>ª feira</w:t>
      </w:r>
      <w:r>
        <w:rPr>
          <w:rFonts w:ascii="Tahoma" w:hAnsi="Tahoma"/>
          <w:b/>
          <w:u w:val="single"/>
        </w:rPr>
        <w:t>),</w:t>
      </w:r>
      <w:r w:rsidRPr="00992D28">
        <w:rPr>
          <w:rFonts w:ascii="Tahoma" w:hAnsi="Tahoma"/>
        </w:rPr>
        <w:t xml:space="preserve"> às 1</w:t>
      </w:r>
      <w:r>
        <w:rPr>
          <w:rFonts w:ascii="Tahoma" w:hAnsi="Tahoma"/>
        </w:rPr>
        <w:t xml:space="preserve">4hs em 1ª convocação e 15hs em segunda convocação, e para a </w:t>
      </w:r>
      <w:r w:rsidRPr="00EF5DB6">
        <w:rPr>
          <w:rFonts w:ascii="Tahoma" w:hAnsi="Tahoma"/>
          <w:b/>
          <w:bCs/>
          <w:u w:val="single"/>
        </w:rPr>
        <w:t xml:space="preserve">Assembléia Geral </w:t>
      </w:r>
      <w:r>
        <w:rPr>
          <w:rFonts w:ascii="Tahoma" w:hAnsi="Tahoma"/>
          <w:b/>
          <w:bCs/>
          <w:u w:val="single"/>
        </w:rPr>
        <w:t>Extraordinária,</w:t>
      </w:r>
      <w:r>
        <w:rPr>
          <w:rFonts w:ascii="Tahoma" w:hAnsi="Tahoma"/>
        </w:rPr>
        <w:t xml:space="preserve"> a ser realizada na mesma data </w:t>
      </w:r>
      <w:r w:rsidRPr="00992D28">
        <w:rPr>
          <w:rFonts w:ascii="Tahoma" w:hAnsi="Tahoma"/>
        </w:rPr>
        <w:t>às 1</w:t>
      </w:r>
      <w:r>
        <w:rPr>
          <w:rFonts w:ascii="Tahoma" w:hAnsi="Tahoma"/>
        </w:rPr>
        <w:t>5hs em 1ª convocação e 16hs em segunda convocação, na Sede da ASCOFERJ, sito à Rua México, nr. 03 – 14º andar – Centro – Rio de Janeiro - RJ.</w:t>
      </w:r>
    </w:p>
    <w:p w:rsidR="005D52CF" w:rsidRDefault="005D52CF" w:rsidP="00E54768">
      <w:pPr>
        <w:rPr>
          <w:rFonts w:ascii="Tahoma" w:hAnsi="Tahoma"/>
        </w:rPr>
      </w:pPr>
    </w:p>
    <w:p w:rsidR="005D52CF" w:rsidRDefault="005D52CF" w:rsidP="00E54768">
      <w:pPr>
        <w:jc w:val="right"/>
        <w:rPr>
          <w:rFonts w:ascii="Tahoma" w:hAnsi="Tahoma"/>
        </w:rPr>
      </w:pPr>
      <w:r>
        <w:rPr>
          <w:rFonts w:ascii="Tahoma" w:hAnsi="Tahoma"/>
        </w:rPr>
        <w:t>Rio de Janeiro, 02 de Outubro de 2015</w:t>
      </w:r>
    </w:p>
    <w:p w:rsidR="005D52CF" w:rsidRDefault="005D52CF" w:rsidP="00A76BAB">
      <w:pPr>
        <w:ind w:firstLine="720"/>
        <w:jc w:val="center"/>
        <w:rPr>
          <w:rFonts w:ascii="Book Antiqua" w:hAnsi="Book Antiqua"/>
          <w:b/>
          <w:bCs/>
          <w:u w:val="single"/>
        </w:rPr>
      </w:pPr>
    </w:p>
    <w:p w:rsidR="005D52CF" w:rsidRPr="00A76BAB" w:rsidRDefault="005D52CF" w:rsidP="00A76BAB">
      <w:pPr>
        <w:ind w:firstLine="720"/>
        <w:jc w:val="center"/>
        <w:rPr>
          <w:rFonts w:ascii="Book Antiqua" w:hAnsi="Book Antiqua"/>
          <w:b/>
          <w:bCs/>
          <w:u w:val="single"/>
        </w:rPr>
      </w:pPr>
      <w:r w:rsidRPr="00A76BAB">
        <w:rPr>
          <w:rFonts w:ascii="Book Antiqua" w:hAnsi="Book Antiqua"/>
          <w:b/>
          <w:bCs/>
          <w:u w:val="single"/>
        </w:rPr>
        <w:t>Pauta da AGO</w:t>
      </w:r>
    </w:p>
    <w:p w:rsidR="005D52CF" w:rsidRPr="00A76BAB" w:rsidRDefault="005D52CF" w:rsidP="00A76BAB">
      <w:pPr>
        <w:ind w:firstLine="360"/>
        <w:rPr>
          <w:rFonts w:ascii="Book Antiqua" w:hAnsi="Book Antiqua" w:cs="Arial"/>
          <w:szCs w:val="24"/>
        </w:rPr>
      </w:pPr>
      <w:r w:rsidRPr="00A76BAB">
        <w:rPr>
          <w:rFonts w:ascii="Book Antiqua" w:hAnsi="Book Antiqua" w:cs="Arial"/>
          <w:szCs w:val="24"/>
        </w:rPr>
        <w:t>Departamento Jurídico:</w:t>
      </w:r>
    </w:p>
    <w:p w:rsidR="005D52CF" w:rsidRPr="00267AEA" w:rsidRDefault="005D52CF" w:rsidP="00A76BAB">
      <w:pPr>
        <w:numPr>
          <w:ilvl w:val="0"/>
          <w:numId w:val="2"/>
        </w:numPr>
        <w:spacing w:line="240" w:lineRule="auto"/>
        <w:jc w:val="left"/>
        <w:rPr>
          <w:rFonts w:ascii="Book Antiqua" w:hAnsi="Book Antiqua"/>
          <w:noProof/>
          <w:szCs w:val="24"/>
          <w:lang w:eastAsia="pt-BR"/>
        </w:rPr>
      </w:pPr>
      <w:r>
        <w:rPr>
          <w:rFonts w:ascii="Book Antiqua" w:hAnsi="Book Antiqua"/>
          <w:szCs w:val="24"/>
        </w:rPr>
        <w:t xml:space="preserve">Renovação do contrato de </w:t>
      </w:r>
      <w:r w:rsidRPr="00267AEA">
        <w:rPr>
          <w:rFonts w:ascii="Book Antiqua" w:hAnsi="Book Antiqua"/>
          <w:szCs w:val="24"/>
        </w:rPr>
        <w:t xml:space="preserve">Locação </w:t>
      </w:r>
      <w:r>
        <w:rPr>
          <w:rFonts w:ascii="Book Antiqua" w:hAnsi="Book Antiqua"/>
          <w:szCs w:val="24"/>
        </w:rPr>
        <w:t>d</w:t>
      </w:r>
      <w:r w:rsidRPr="00267AEA">
        <w:rPr>
          <w:rFonts w:ascii="Book Antiqua" w:hAnsi="Book Antiqua"/>
          <w:szCs w:val="24"/>
        </w:rPr>
        <w:t xml:space="preserve">a </w:t>
      </w:r>
      <w:r>
        <w:rPr>
          <w:rFonts w:ascii="Book Antiqua" w:hAnsi="Book Antiqua"/>
          <w:szCs w:val="24"/>
        </w:rPr>
        <w:t>Entidade;</w:t>
      </w:r>
      <w:r w:rsidRPr="00267AEA">
        <w:rPr>
          <w:rFonts w:ascii="Book Antiqua" w:hAnsi="Book Antiqua"/>
          <w:szCs w:val="24"/>
        </w:rPr>
        <w:t xml:space="preserve"> </w:t>
      </w:r>
    </w:p>
    <w:p w:rsidR="005D52CF" w:rsidRPr="00A76BAB" w:rsidRDefault="005D52CF" w:rsidP="00A76BAB">
      <w:pPr>
        <w:numPr>
          <w:ilvl w:val="0"/>
          <w:numId w:val="2"/>
        </w:numPr>
        <w:spacing w:line="240" w:lineRule="auto"/>
        <w:jc w:val="left"/>
        <w:rPr>
          <w:rFonts w:ascii="Book Antiqua" w:hAnsi="Book Antiqua"/>
          <w:noProof/>
          <w:lang w:eastAsia="pt-BR"/>
        </w:rPr>
      </w:pPr>
      <w:r w:rsidRPr="00267AEA">
        <w:rPr>
          <w:rFonts w:ascii="Book Antiqua" w:hAnsi="Book Antiqua"/>
          <w:noProof/>
          <w:szCs w:val="24"/>
          <w:lang w:eastAsia="pt-BR"/>
        </w:rPr>
        <w:t>Informações atualizadas sobre os processos envolvendo</w:t>
      </w:r>
      <w:r>
        <w:rPr>
          <w:rFonts w:ascii="Book Antiqua" w:hAnsi="Book Antiqua"/>
          <w:noProof/>
          <w:lang w:eastAsia="pt-BR"/>
        </w:rPr>
        <w:t xml:space="preserve"> a Lei do Idoso</w:t>
      </w:r>
      <w:bookmarkStart w:id="0" w:name="_GoBack"/>
      <w:bookmarkEnd w:id="0"/>
      <w:r>
        <w:rPr>
          <w:rFonts w:ascii="Book Antiqua" w:hAnsi="Book Antiqua"/>
          <w:noProof/>
          <w:lang w:eastAsia="pt-BR"/>
        </w:rPr>
        <w:t>;</w:t>
      </w:r>
    </w:p>
    <w:p w:rsidR="005D52CF" w:rsidRPr="00A76BAB" w:rsidRDefault="005D52CF" w:rsidP="00E54768">
      <w:pPr>
        <w:jc w:val="right"/>
        <w:rPr>
          <w:rFonts w:ascii="Book Antiqua" w:hAnsi="Book Antiqua"/>
        </w:rPr>
      </w:pPr>
    </w:p>
    <w:p w:rsidR="005D52CF" w:rsidRPr="00A76BAB" w:rsidRDefault="005D52CF" w:rsidP="00E54768">
      <w:pPr>
        <w:ind w:firstLine="720"/>
        <w:jc w:val="center"/>
        <w:rPr>
          <w:rFonts w:ascii="Book Antiqua" w:hAnsi="Book Antiqua"/>
          <w:b/>
          <w:bCs/>
          <w:u w:val="single"/>
        </w:rPr>
      </w:pPr>
      <w:r w:rsidRPr="00A76BAB">
        <w:rPr>
          <w:rFonts w:ascii="Book Antiqua" w:hAnsi="Book Antiqua"/>
          <w:b/>
          <w:bCs/>
          <w:u w:val="single"/>
        </w:rPr>
        <w:t>Pauta da AGE:</w:t>
      </w:r>
    </w:p>
    <w:p w:rsidR="005D52CF" w:rsidRPr="00267AEA" w:rsidRDefault="005D52CF" w:rsidP="00267AEA">
      <w:pPr>
        <w:numPr>
          <w:ilvl w:val="0"/>
          <w:numId w:val="4"/>
        </w:numPr>
        <w:tabs>
          <w:tab w:val="clear" w:pos="1080"/>
          <w:tab w:val="num" w:pos="720"/>
        </w:tabs>
        <w:spacing w:line="240" w:lineRule="auto"/>
        <w:ind w:left="360" w:firstLine="0"/>
        <w:rPr>
          <w:rFonts w:ascii="Book Antiqua" w:hAnsi="Book Antiqua" w:cs="Tahoma"/>
          <w:noProof/>
          <w:szCs w:val="24"/>
          <w:lang w:eastAsia="pt-BR"/>
        </w:rPr>
      </w:pPr>
      <w:r w:rsidRPr="00267AEA">
        <w:rPr>
          <w:rFonts w:ascii="Book Antiqua" w:hAnsi="Book Antiqua" w:cs="Tahoma"/>
          <w:szCs w:val="24"/>
        </w:rPr>
        <w:t xml:space="preserve">Autorização para que a Ascoferj ingresse </w:t>
      </w:r>
      <w:r>
        <w:rPr>
          <w:rFonts w:ascii="Book Antiqua" w:hAnsi="Book Antiqua" w:cs="Tahoma"/>
          <w:szCs w:val="24"/>
        </w:rPr>
        <w:t xml:space="preserve">com Ação Civil Pública contra o </w:t>
      </w:r>
      <w:r w:rsidRPr="00267AEA">
        <w:rPr>
          <w:rFonts w:ascii="Book Antiqua" w:hAnsi="Book Antiqua" w:cs="Tahoma"/>
          <w:szCs w:val="24"/>
        </w:rPr>
        <w:t xml:space="preserve">Município de Macaé, a fim de fazer cumprir a Lei Municipal nº 4.068/14, que permite o estacionamento temporário em </w:t>
      </w:r>
      <w:r>
        <w:rPr>
          <w:rFonts w:ascii="Book Antiqua" w:hAnsi="Book Antiqua" w:cs="Tahoma"/>
          <w:szCs w:val="24"/>
        </w:rPr>
        <w:t>frente às farmácias e drogarias;</w:t>
      </w:r>
    </w:p>
    <w:p w:rsidR="005D52CF" w:rsidRPr="00267AEA" w:rsidRDefault="005D52CF" w:rsidP="00267AEA">
      <w:pPr>
        <w:numPr>
          <w:ilvl w:val="0"/>
          <w:numId w:val="4"/>
        </w:numPr>
        <w:tabs>
          <w:tab w:val="clear" w:pos="1080"/>
          <w:tab w:val="num" w:pos="360"/>
        </w:tabs>
        <w:spacing w:line="240" w:lineRule="auto"/>
        <w:ind w:left="360" w:firstLine="0"/>
        <w:rPr>
          <w:rFonts w:ascii="Book Antiqua" w:hAnsi="Book Antiqua" w:cs="Tahoma"/>
          <w:szCs w:val="24"/>
          <w:lang w:eastAsia="pt-BR"/>
        </w:rPr>
      </w:pPr>
      <w:r w:rsidRPr="00267AEA">
        <w:rPr>
          <w:rFonts w:ascii="Book Antiqua" w:hAnsi="Book Antiqua" w:cs="Tahoma"/>
          <w:szCs w:val="24"/>
        </w:rPr>
        <w:t xml:space="preserve">Autorização para que a Ascoferj ingresse com Ação Civil Pública </w:t>
      </w:r>
      <w:r w:rsidRPr="00267AEA">
        <w:rPr>
          <w:rFonts w:ascii="Book Antiqua" w:hAnsi="Book Antiqua" w:cs="Tahoma"/>
          <w:szCs w:val="24"/>
          <w:lang w:eastAsia="pt-BR"/>
        </w:rPr>
        <w:t>para que a Vigilância Sanitária Estadual e as Vigilâncias Sanitárias dos municípios do Rio de Janeiro, Niterói, São Gonçalo, Duque de Caxias, Volta Redonda, Barra Mansa, Cabo Frio e outros municípios do Estado do Rio de Janeiro NÃO mais exijam a Certidão de Regularidade do CRF (precedente da Justiça de Curitiba), por não ter sido criada po</w:t>
      </w:r>
      <w:r>
        <w:rPr>
          <w:rFonts w:ascii="Book Antiqua" w:hAnsi="Book Antiqua" w:cs="Tahoma"/>
          <w:szCs w:val="24"/>
          <w:lang w:eastAsia="pt-BR"/>
        </w:rPr>
        <w:t>r lei, mas por Resolução do CFF;</w:t>
      </w:r>
    </w:p>
    <w:p w:rsidR="005D52CF" w:rsidRPr="00267AEA" w:rsidRDefault="005D52CF" w:rsidP="00267AEA">
      <w:pPr>
        <w:tabs>
          <w:tab w:val="num" w:pos="720"/>
        </w:tabs>
        <w:spacing w:line="240" w:lineRule="auto"/>
        <w:ind w:hanging="720"/>
        <w:rPr>
          <w:rFonts w:ascii="Book Antiqua" w:hAnsi="Book Antiqua" w:cs="Tahoma"/>
          <w:szCs w:val="24"/>
          <w:lang w:eastAsia="pt-BR"/>
        </w:rPr>
      </w:pPr>
    </w:p>
    <w:p w:rsidR="005D52CF" w:rsidRPr="00267AEA" w:rsidRDefault="005D52CF" w:rsidP="00267AEA">
      <w:pPr>
        <w:tabs>
          <w:tab w:val="num" w:pos="720"/>
        </w:tabs>
        <w:spacing w:line="240" w:lineRule="auto"/>
        <w:ind w:hanging="720"/>
        <w:rPr>
          <w:rFonts w:ascii="Book Antiqua" w:hAnsi="Book Antiqua" w:cs="Tahoma"/>
          <w:szCs w:val="24"/>
          <w:lang w:eastAsia="pt-BR"/>
        </w:rPr>
      </w:pPr>
    </w:p>
    <w:p w:rsidR="005D52CF" w:rsidRPr="00267AEA" w:rsidRDefault="005D52CF" w:rsidP="00267AEA">
      <w:pPr>
        <w:tabs>
          <w:tab w:val="num" w:pos="720"/>
        </w:tabs>
        <w:spacing w:line="240" w:lineRule="auto"/>
        <w:ind w:hanging="720"/>
        <w:rPr>
          <w:rFonts w:ascii="Book Antiqua" w:hAnsi="Book Antiqua" w:cs="Tahoma"/>
          <w:szCs w:val="24"/>
          <w:lang w:eastAsia="pt-BR"/>
        </w:rPr>
      </w:pPr>
    </w:p>
    <w:p w:rsidR="005D52CF" w:rsidRPr="00267AEA" w:rsidRDefault="005D52CF" w:rsidP="00267AEA">
      <w:pPr>
        <w:tabs>
          <w:tab w:val="num" w:pos="720"/>
        </w:tabs>
        <w:spacing w:line="240" w:lineRule="auto"/>
        <w:ind w:hanging="720"/>
        <w:rPr>
          <w:rFonts w:ascii="Book Antiqua" w:hAnsi="Book Antiqua" w:cs="Tahoma"/>
          <w:szCs w:val="24"/>
          <w:lang w:eastAsia="pt-BR"/>
        </w:rPr>
      </w:pPr>
    </w:p>
    <w:p w:rsidR="005D52CF" w:rsidRPr="00267AEA" w:rsidRDefault="005D52CF" w:rsidP="00267AEA">
      <w:pPr>
        <w:tabs>
          <w:tab w:val="num" w:pos="720"/>
        </w:tabs>
        <w:spacing w:line="240" w:lineRule="auto"/>
        <w:ind w:hanging="720"/>
        <w:rPr>
          <w:rFonts w:ascii="Book Antiqua" w:hAnsi="Book Antiqua" w:cs="Tahoma"/>
          <w:szCs w:val="24"/>
          <w:lang w:eastAsia="pt-BR"/>
        </w:rPr>
      </w:pPr>
    </w:p>
    <w:p w:rsidR="005D52CF" w:rsidRPr="00267AEA" w:rsidRDefault="005D52CF" w:rsidP="00267AEA">
      <w:pPr>
        <w:numPr>
          <w:ilvl w:val="0"/>
          <w:numId w:val="4"/>
        </w:numPr>
        <w:tabs>
          <w:tab w:val="clear" w:pos="1080"/>
          <w:tab w:val="num" w:pos="720"/>
        </w:tabs>
        <w:spacing w:line="240" w:lineRule="auto"/>
        <w:ind w:left="360" w:firstLine="0"/>
        <w:rPr>
          <w:rFonts w:ascii="Book Antiqua" w:hAnsi="Book Antiqua" w:cs="Tahoma"/>
          <w:szCs w:val="24"/>
          <w:lang w:eastAsia="pt-BR"/>
        </w:rPr>
      </w:pPr>
      <w:r w:rsidRPr="00267AEA">
        <w:rPr>
          <w:rFonts w:ascii="Book Antiqua" w:hAnsi="Book Antiqua" w:cs="Tahoma"/>
          <w:szCs w:val="24"/>
        </w:rPr>
        <w:t xml:space="preserve">Autorização para que a Ascoferj ingresse com Mandado de Segurança Coletivo contra a </w:t>
      </w:r>
      <w:r w:rsidRPr="00267AEA">
        <w:rPr>
          <w:rFonts w:ascii="Book Antiqua" w:hAnsi="Book Antiqua" w:cs="Tahoma"/>
          <w:szCs w:val="24"/>
          <w:lang w:eastAsia="pt-BR"/>
        </w:rPr>
        <w:t>Portaria Interministerial 701/15, que fixou nosso valores da taxa da ANVISA, pela despr</w:t>
      </w:r>
      <w:r>
        <w:rPr>
          <w:rFonts w:ascii="Book Antiqua" w:hAnsi="Book Antiqua" w:cs="Tahoma"/>
          <w:szCs w:val="24"/>
          <w:lang w:eastAsia="pt-BR"/>
        </w:rPr>
        <w:t>oporcionalidade nesta majoração;</w:t>
      </w:r>
      <w:r w:rsidRPr="00267AEA">
        <w:rPr>
          <w:rFonts w:ascii="Book Antiqua" w:hAnsi="Book Antiqua" w:cs="Tahoma"/>
          <w:szCs w:val="24"/>
          <w:lang w:eastAsia="pt-BR"/>
        </w:rPr>
        <w:t xml:space="preserve"> </w:t>
      </w:r>
    </w:p>
    <w:p w:rsidR="005D52CF" w:rsidRPr="00C8256C" w:rsidRDefault="005D52CF" w:rsidP="00C8256C">
      <w:pPr>
        <w:numPr>
          <w:ilvl w:val="0"/>
          <w:numId w:val="4"/>
        </w:numPr>
        <w:tabs>
          <w:tab w:val="clear" w:pos="1080"/>
          <w:tab w:val="num" w:pos="720"/>
        </w:tabs>
        <w:spacing w:line="240" w:lineRule="auto"/>
        <w:ind w:left="360" w:firstLine="0"/>
        <w:rPr>
          <w:rFonts w:ascii="Book Antiqua" w:hAnsi="Book Antiqua"/>
        </w:rPr>
      </w:pPr>
      <w:r w:rsidRPr="00267AEA">
        <w:rPr>
          <w:rFonts w:ascii="Book Antiqua" w:hAnsi="Book Antiqua" w:cs="Tahoma"/>
          <w:szCs w:val="24"/>
        </w:rPr>
        <w:t>Autorização para que a Ascoferj ingresse com medida judicial contra a decisão do Ministério da Saúde de paralisar a operação do Prog</w:t>
      </w:r>
      <w:r>
        <w:rPr>
          <w:rFonts w:ascii="Book Antiqua" w:hAnsi="Book Antiqua" w:cs="Tahoma"/>
          <w:szCs w:val="24"/>
        </w:rPr>
        <w:t>rama Farmácia Popular do Brasil;</w:t>
      </w:r>
    </w:p>
    <w:p w:rsidR="005D52CF" w:rsidRDefault="005D52CF" w:rsidP="00C8256C">
      <w:pPr>
        <w:spacing w:line="240" w:lineRule="auto"/>
        <w:ind w:left="360" w:firstLine="0"/>
        <w:rPr>
          <w:rFonts w:ascii="Book Antiqua" w:hAnsi="Book Antiqua" w:cs="Tahoma"/>
          <w:szCs w:val="24"/>
        </w:rPr>
      </w:pPr>
    </w:p>
    <w:p w:rsidR="005D52CF" w:rsidRPr="00A76BAB" w:rsidRDefault="005D52CF" w:rsidP="00C8256C">
      <w:pPr>
        <w:spacing w:line="240" w:lineRule="auto"/>
        <w:ind w:left="360" w:firstLine="0"/>
        <w:rPr>
          <w:rFonts w:ascii="Book Antiqua" w:hAnsi="Book Antiqua"/>
        </w:rPr>
      </w:pPr>
    </w:p>
    <w:p w:rsidR="005D52CF" w:rsidRDefault="005D52CF" w:rsidP="00E54768">
      <w:pPr>
        <w:tabs>
          <w:tab w:val="left" w:pos="6390"/>
          <w:tab w:val="right" w:pos="9638"/>
        </w:tabs>
        <w:ind w:firstLine="0"/>
        <w:jc w:val="left"/>
        <w:rPr>
          <w:rFonts w:ascii="Tahoma" w:hAnsi="Tahoma"/>
        </w:rPr>
      </w:pPr>
      <w:r>
        <w:rPr>
          <w:noProof/>
          <w:lang w:eastAsia="pt-BR"/>
        </w:rPr>
        <w:pict>
          <v:shape id="_x0000_s1029" type="#_x0000_t75" style="position:absolute;margin-left:378pt;margin-top:1.2pt;width:99pt;height:21.85pt;z-index:-251658240;mso-wrap-edited:f">
            <v:imagedata r:id="rId7" o:title=""/>
          </v:shape>
          <o:OLEObject Type="Embed" ProgID="CorelPhotoPaint.Image.10" ShapeID="_x0000_s1029" DrawAspect="Content" ObjectID="_1505300496" r:id="rId8"/>
        </w:pict>
      </w:r>
    </w:p>
    <w:p w:rsidR="005D52CF" w:rsidRDefault="005D52CF" w:rsidP="00E54768">
      <w:pPr>
        <w:jc w:val="right"/>
        <w:rPr>
          <w:rFonts w:ascii="Tahoma" w:hAnsi="Tahoma"/>
        </w:rPr>
      </w:pPr>
      <w:r>
        <w:rPr>
          <w:rFonts w:ascii="Tahoma" w:hAnsi="Tahoma"/>
        </w:rPr>
        <w:t>Luis Carlos C. Marins</w:t>
      </w:r>
    </w:p>
    <w:p w:rsidR="005D52CF" w:rsidRDefault="005D52CF" w:rsidP="00E54768">
      <w:pPr>
        <w:jc w:val="right"/>
      </w:pPr>
      <w:r>
        <w:rPr>
          <w:rFonts w:ascii="Tahoma" w:hAnsi="Tahoma"/>
        </w:rPr>
        <w:t>Presidente</w:t>
      </w:r>
    </w:p>
    <w:sectPr w:rsidR="005D52CF" w:rsidSect="00A76BAB">
      <w:headerReference w:type="default" r:id="rId9"/>
      <w:pgSz w:w="11906" w:h="16838" w:code="9"/>
      <w:pgMar w:top="2552" w:right="1134" w:bottom="71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52CF" w:rsidRDefault="005D52CF" w:rsidP="00D34164">
      <w:pPr>
        <w:spacing w:line="240" w:lineRule="auto"/>
      </w:pPr>
      <w:r>
        <w:separator/>
      </w:r>
    </w:p>
  </w:endnote>
  <w:endnote w:type="continuationSeparator" w:id="0">
    <w:p w:rsidR="005D52CF" w:rsidRDefault="005D52CF" w:rsidP="00D3416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52CF" w:rsidRDefault="005D52CF" w:rsidP="00D34164">
      <w:pPr>
        <w:spacing w:line="240" w:lineRule="auto"/>
      </w:pPr>
      <w:r>
        <w:separator/>
      </w:r>
    </w:p>
  </w:footnote>
  <w:footnote w:type="continuationSeparator" w:id="0">
    <w:p w:rsidR="005D52CF" w:rsidRDefault="005D52CF" w:rsidP="00D34164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D52CF" w:rsidRDefault="005D52CF">
    <w:pPr>
      <w:pStyle w:val="Header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2051" type="#_x0000_t75" style="position:absolute;left:0;text-align:left;margin-left:-56.75pt;margin-top:-35.4pt;width:612.3pt;height:841.9pt;z-index:-251652096;visibility:visible">
          <v:imagedata r:id="rId1" o:title="" cropleft="-1f" cropright="-188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1.25pt;height:11.25pt" o:bullet="t">
        <v:imagedata r:id="rId1" o:title=""/>
      </v:shape>
    </w:pict>
  </w:numPicBullet>
  <w:abstractNum w:abstractNumId="0">
    <w:nsid w:val="1EE57FDC"/>
    <w:multiLevelType w:val="hybridMultilevel"/>
    <w:tmpl w:val="01C067C8"/>
    <w:lvl w:ilvl="0" w:tplc="041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27A76D73"/>
    <w:multiLevelType w:val="hybridMultilevel"/>
    <w:tmpl w:val="2D8499EA"/>
    <w:lvl w:ilvl="0" w:tplc="0416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40918B8"/>
    <w:multiLevelType w:val="hybridMultilevel"/>
    <w:tmpl w:val="F760C54A"/>
    <w:lvl w:ilvl="0" w:tplc="041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54EB7F63"/>
    <w:multiLevelType w:val="multilevel"/>
    <w:tmpl w:val="01C067C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34164"/>
    <w:rsid w:val="0001317A"/>
    <w:rsid w:val="00056AD7"/>
    <w:rsid w:val="00060011"/>
    <w:rsid w:val="00140776"/>
    <w:rsid w:val="0014164E"/>
    <w:rsid w:val="001433B4"/>
    <w:rsid w:val="0018649E"/>
    <w:rsid w:val="001A1117"/>
    <w:rsid w:val="001C4DD2"/>
    <w:rsid w:val="0020296E"/>
    <w:rsid w:val="00211CCD"/>
    <w:rsid w:val="002660BF"/>
    <w:rsid w:val="00267AEA"/>
    <w:rsid w:val="00281CE0"/>
    <w:rsid w:val="002C31EA"/>
    <w:rsid w:val="00386A0E"/>
    <w:rsid w:val="00451650"/>
    <w:rsid w:val="004576D6"/>
    <w:rsid w:val="00493755"/>
    <w:rsid w:val="00494FD6"/>
    <w:rsid w:val="00521A0A"/>
    <w:rsid w:val="00525981"/>
    <w:rsid w:val="0057578D"/>
    <w:rsid w:val="0059173E"/>
    <w:rsid w:val="005B33D2"/>
    <w:rsid w:val="005D52CF"/>
    <w:rsid w:val="005E61D7"/>
    <w:rsid w:val="0062507E"/>
    <w:rsid w:val="00652EAB"/>
    <w:rsid w:val="00675A40"/>
    <w:rsid w:val="0069361C"/>
    <w:rsid w:val="00742F9D"/>
    <w:rsid w:val="00745B43"/>
    <w:rsid w:val="00784711"/>
    <w:rsid w:val="008224FD"/>
    <w:rsid w:val="008273C1"/>
    <w:rsid w:val="00845DB6"/>
    <w:rsid w:val="008D171D"/>
    <w:rsid w:val="00983682"/>
    <w:rsid w:val="00992D28"/>
    <w:rsid w:val="00A111F1"/>
    <w:rsid w:val="00A14326"/>
    <w:rsid w:val="00A76BAB"/>
    <w:rsid w:val="00A82D69"/>
    <w:rsid w:val="00AD1114"/>
    <w:rsid w:val="00AE6A13"/>
    <w:rsid w:val="00B11D4F"/>
    <w:rsid w:val="00B60A0D"/>
    <w:rsid w:val="00BA1C88"/>
    <w:rsid w:val="00C6712E"/>
    <w:rsid w:val="00C8256C"/>
    <w:rsid w:val="00D2101C"/>
    <w:rsid w:val="00D34164"/>
    <w:rsid w:val="00E54768"/>
    <w:rsid w:val="00EF5DB6"/>
    <w:rsid w:val="00F54F08"/>
    <w:rsid w:val="00FA11AD"/>
    <w:rsid w:val="00FF0B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Calibri" w:hAnsi="Arial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173E"/>
    <w:pPr>
      <w:spacing w:line="360" w:lineRule="auto"/>
      <w:ind w:firstLine="709"/>
      <w:jc w:val="both"/>
    </w:pPr>
    <w:rPr>
      <w:sz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34164"/>
    <w:pPr>
      <w:tabs>
        <w:tab w:val="center" w:pos="4252"/>
        <w:tab w:val="right" w:pos="8504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34164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34164"/>
    <w:pPr>
      <w:tabs>
        <w:tab w:val="center" w:pos="4252"/>
        <w:tab w:val="right" w:pos="8504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34164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341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34164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E54768"/>
    <w:pPr>
      <w:spacing w:line="240" w:lineRule="auto"/>
      <w:ind w:firstLine="0"/>
    </w:pPr>
    <w:rPr>
      <w:rFonts w:ascii="Bookman Old Style" w:hAnsi="Bookman Old Style"/>
      <w:szCs w:val="24"/>
      <w:lang w:eastAsia="pt-BR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A82D69"/>
    <w:rPr>
      <w:rFonts w:cs="Times New Roman"/>
      <w:sz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2</Pages>
  <Words>297</Words>
  <Characters>1605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CONVOCAÇÃO</dc:title>
  <dc:subject/>
  <dc:creator>IRIA STORER</dc:creator>
  <cp:keywords/>
  <dc:description/>
  <cp:lastModifiedBy>Aoliveira</cp:lastModifiedBy>
  <cp:revision>5</cp:revision>
  <cp:lastPrinted>2015-10-02T17:15:00Z</cp:lastPrinted>
  <dcterms:created xsi:type="dcterms:W3CDTF">2015-09-30T20:32:00Z</dcterms:created>
  <dcterms:modified xsi:type="dcterms:W3CDTF">2015-10-02T17:15:00Z</dcterms:modified>
</cp:coreProperties>
</file>